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F3B6" w14:textId="77777777" w:rsidR="00870587" w:rsidRDefault="00000000">
      <w:pPr>
        <w:pStyle w:val="Heading"/>
        <w:ind w:left="3390" w:hanging="339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2E41F3" wp14:editId="53A4E589">
            <wp:simplePos x="0" y="0"/>
            <wp:positionH relativeFrom="column">
              <wp:posOffset>7416000</wp:posOffset>
            </wp:positionH>
            <wp:positionV relativeFrom="paragraph">
              <wp:posOffset>152280</wp:posOffset>
            </wp:positionV>
            <wp:extent cx="1816560" cy="1453680"/>
            <wp:effectExtent l="0" t="0" r="0" b="0"/>
            <wp:wrapSquare wrapText="bothSides"/>
            <wp:docPr id="1060994566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560" cy="1453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LA TÊTE DE MOINE : </w:t>
      </w:r>
      <w:r>
        <w:tab/>
        <w:t>QUELLES DIMENSIONS (hauteur, rayon) OPTIMUMS DONNER À LA TÊTE DE MOINE POUR AVOIR UN MAXIMUM DE FROMAGE ET UN MINIMUM DE CROÛTE ?</w:t>
      </w:r>
    </w:p>
    <w:p w14:paraId="057A5AD2" w14:textId="77777777" w:rsidR="00870587" w:rsidRDefault="00870587">
      <w:pPr>
        <w:pStyle w:val="Textbody"/>
        <w:ind w:left="3390" w:hanging="3390"/>
      </w:pPr>
    </w:p>
    <w:p w14:paraId="41FAEBA0" w14:textId="77777777" w:rsidR="00870587" w:rsidRDefault="00000000">
      <w:pPr>
        <w:pStyle w:val="Textbody"/>
        <w:ind w:left="3390" w:hanging="3390"/>
      </w:pPr>
      <w:r>
        <w:object w:dxaOrig="1440" w:dyaOrig="1440" w14:anchorId="7806A5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t1" o:spid="_x0000_s1026" type="#_x0000_t75" style="position:absolute;left:0;text-align:left;margin-left:3.65pt;margin-top:4.5pt;width:199.1pt;height:320.05pt;z-index:251659264;visibility:visible;mso-wrap-style:square;mso-position-horizontal-relative:text;mso-position-vertical-relative:text">
            <v:imagedata r:id="rId7" o:title=""/>
            <w10:wrap type="topAndBottom"/>
          </v:shape>
          <o:OLEObject Type="Embed" ProgID="Excel.OpenDocumentSpreadsheet.12" ShapeID="Objet1" DrawAspect="Content" ObjectID="_1751899239" r:id="rId8"/>
        </w:object>
      </w:r>
      <w:r>
        <w:rPr>
          <w:noProof/>
        </w:rPr>
        <w:drawing>
          <wp:anchor distT="0" distB="0" distL="114300" distR="114300" simplePos="0" relativeHeight="2" behindDoc="0" locked="0" layoutInCell="1" allowOverlap="1" wp14:anchorId="3218DAFB" wp14:editId="7E958D25">
            <wp:simplePos x="0" y="0"/>
            <wp:positionH relativeFrom="column">
              <wp:posOffset>2787120</wp:posOffset>
            </wp:positionH>
            <wp:positionV relativeFrom="paragraph">
              <wp:posOffset>114480</wp:posOffset>
            </wp:positionV>
            <wp:extent cx="4420079" cy="1795320"/>
            <wp:effectExtent l="0" t="0" r="0" b="0"/>
            <wp:wrapTopAndBottom/>
            <wp:docPr id="509934868" name="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5" behindDoc="0" locked="0" layoutInCell="1" allowOverlap="1" wp14:anchorId="4A54CCF6" wp14:editId="3247D169">
            <wp:simplePos x="0" y="0"/>
            <wp:positionH relativeFrom="column">
              <wp:posOffset>7534800</wp:posOffset>
            </wp:positionH>
            <wp:positionV relativeFrom="paragraph">
              <wp:posOffset>2305080</wp:posOffset>
            </wp:positionV>
            <wp:extent cx="1400759" cy="1125360"/>
            <wp:effectExtent l="0" t="0" r="8941" b="0"/>
            <wp:wrapTopAndBottom/>
            <wp:docPr id="895145069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759" cy="112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" behindDoc="0" locked="0" layoutInCell="1" allowOverlap="1" wp14:anchorId="08396D09" wp14:editId="1E18951D">
            <wp:simplePos x="0" y="0"/>
            <wp:positionH relativeFrom="column">
              <wp:posOffset>2853720</wp:posOffset>
            </wp:positionH>
            <wp:positionV relativeFrom="paragraph">
              <wp:posOffset>2767320</wp:posOffset>
            </wp:positionV>
            <wp:extent cx="4443840" cy="1778760"/>
            <wp:effectExtent l="0" t="0" r="0" b="0"/>
            <wp:wrapTopAndBottom/>
            <wp:docPr id="1960040803" name="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301D3EC5" wp14:editId="6CFDDF1C">
                <wp:simplePos x="0" y="0"/>
                <wp:positionH relativeFrom="column">
                  <wp:posOffset>3862799</wp:posOffset>
                </wp:positionH>
                <wp:positionV relativeFrom="paragraph">
                  <wp:posOffset>1554479</wp:posOffset>
                </wp:positionV>
                <wp:extent cx="0" cy="1212841"/>
                <wp:effectExtent l="95250" t="0" r="57150" b="63509"/>
                <wp:wrapNone/>
                <wp:docPr id="1287871853" name="Connecteur droit 1287871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1284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tailEnd type="arrow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38023B" id="Connecteur droit 1287871853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15pt,122.4pt" to="304.15pt,2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SVJjAEAABkDAAAOAAAAZHJzL2Uyb0RvYy54bWysUk2P0zAQvSPxHyzft0mqFayipnvYslwQ&#10;rAT8gKljN5ZsjzVjmvbfYzulheWGyGFiz8fzvDezeTx5J46a2GIYZLdqpdBB4WjDYZDfvz3fPUjB&#10;CcIIDoMe5FmzfNy+fbOZY6/XOKEbNYkMErif4yCnlGLfNKwm7YFXGHXIQYPkIeUrHZqRYM7o3jXr&#10;tn3XzEhjJFSaOXt3S1BuK74xWqUvxrBOwg0y95aqpWr3xTbbDfQHgjhZdWkD/qELDzbkR69QO0gg&#10;fpD9C8pbRcho0kqhb9AYq3TlkNl07Ss2XyeIunLJ4nC8ysT/D1Z9Pj6FF8oyzJF7ji9UWJwM+fLP&#10;/YlTFet8FUufklCLU2Vvt+7WD/ddEbK5FUbi9FGjF+UwSGdD4QE9HD9xWlJ/pRR3wGfrXJ2FC2Iu&#10;qO/btlYwOjuWaMljOuyfHIkjlHHW7/LwH2kFegc8LXk1tAw6gXUfwijSOeZdBCKcL/Uu5P5vEpTT&#10;HsdzVab6s/6V4WVXyoB/v9fq20ZvfwIAAP//AwBQSwMEFAAGAAgAAAAhACIK++DfAAAACwEAAA8A&#10;AABkcnMvZG93bnJldi54bWxMj8FOwzAMhu9IvENkJG4sZStbVZpOCAkkpl0oHHbMWpNUa5yqSbvC&#10;02PEAY62P/3+/mI7u05MOITWk4LbRQICqfZNS0bB+9vTTQYiRE2N7jyhgk8MsC0vLwqdN/5MrzhV&#10;0QgOoZBrBTbGPpcy1BadDgvfI/Htww9ORx4HI5tBnzncdXKZJGvpdEv8weoeHy3Wp2p0CvbjdHh5&#10;thKlibvK7DZ42n+hUtdX88M9iIhz/IPhR5/VoWSnox+pCaJTsE6yFaMKlmnKHZj43RwVpKu7DGRZ&#10;yP8dym8AAAD//wMAUEsBAi0AFAAGAAgAAAAhALaDOJL+AAAA4QEAABMAAAAAAAAAAAAAAAAAAAAA&#10;AFtDb250ZW50X1R5cGVzXS54bWxQSwECLQAUAAYACAAAACEAOP0h/9YAAACUAQAACwAAAAAAAAAA&#10;AAAAAAAvAQAAX3JlbHMvLnJlbHNQSwECLQAUAAYACAAAACEA9DElSYwBAAAZAwAADgAAAAAAAAAA&#10;AAAAAAAuAgAAZHJzL2Uyb0RvYy54bWxQSwECLQAUAAYACAAAACEAIgr74N8AAAALAQAADwAAAAAA&#10;AAAAAAAAAADmAwAAZHJzL2Rvd25yZXYueG1sUEsFBgAAAAAEAAQA8wAAAPIEAAAAAA==&#10;" strokeweight="1pt">
                <v:stroke endarrow="open"/>
              </v:line>
            </w:pict>
          </mc:Fallback>
        </mc:AlternateContent>
      </w:r>
    </w:p>
    <w:sectPr w:rsidR="00870587">
      <w:headerReference w:type="default" r:id="rId12"/>
      <w:footerReference w:type="default" r:id="rId13"/>
      <w:footnotePr>
        <w:numRestart w:val="eachPage"/>
      </w:footnotePr>
      <w:endnotePr>
        <w:numFmt w:val="decimal"/>
      </w:endnotePr>
      <w:pgSz w:w="16837" w:h="11905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A7E3F" w14:textId="77777777" w:rsidR="00F658C2" w:rsidRDefault="00F658C2">
      <w:r>
        <w:separator/>
      </w:r>
    </w:p>
  </w:endnote>
  <w:endnote w:type="continuationSeparator" w:id="0">
    <w:p w14:paraId="463DDD6F" w14:textId="77777777" w:rsidR="00F658C2" w:rsidRDefault="00F6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orndale">
    <w:altName w:val="Times New Roman"/>
    <w:charset w:val="00"/>
    <w:family w:val="roman"/>
    <w:pitch w:val="variable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0"/>
    <w:family w:val="swiss"/>
    <w:pitch w:val="variable"/>
  </w:font>
  <w:font w:name="MS Mincho">
    <w:altName w:val="ＭＳ 明朝"/>
    <w:panose1 w:val="020206090402050803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78792" w14:textId="77777777" w:rsidR="00860A9B" w:rsidRDefault="00000000">
    <w:pPr>
      <w:pStyle w:val="Pieddepage"/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ESVT – 18.03.05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FILENAME </w:instrText>
    </w:r>
    <w:r>
      <w:rPr>
        <w:rFonts w:ascii="Arial" w:hAnsi="Arial"/>
        <w:sz w:val="18"/>
        <w:szCs w:val="18"/>
      </w:rPr>
      <w:fldChar w:fldCharType="separate"/>
    </w:r>
    <w:proofErr w:type="spellStart"/>
    <w:r>
      <w:rPr>
        <w:rFonts w:ascii="Arial" w:hAnsi="Arial"/>
        <w:sz w:val="18"/>
        <w:szCs w:val="18"/>
      </w:rPr>
      <w:t>moine.sxw</w:t>
    </w:r>
    <w:proofErr w:type="spellEnd"/>
    <w:r>
      <w:rPr>
        <w:rFonts w:ascii="Arial" w:hAnsi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AF10" w14:textId="77777777" w:rsidR="00F658C2" w:rsidRDefault="00F658C2">
      <w:r>
        <w:rPr>
          <w:color w:val="000000"/>
        </w:rPr>
        <w:ptab w:relativeTo="margin" w:alignment="center" w:leader="none"/>
      </w:r>
    </w:p>
  </w:footnote>
  <w:footnote w:type="continuationSeparator" w:id="0">
    <w:p w14:paraId="2158D9CE" w14:textId="77777777" w:rsidR="00F658C2" w:rsidRDefault="00F65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5A73" w14:textId="77777777" w:rsidR="00860A9B" w:rsidRDefault="00000000">
    <w:pPr>
      <w:pStyle w:val="En-tte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Math 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70587"/>
    <w:rsid w:val="000276E0"/>
    <w:rsid w:val="00870587"/>
    <w:rsid w:val="00F6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EFFF7F"/>
  <w15:docId w15:val="{6504D3A6-16A5-4392-BEF4-073788CA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orndale" w:eastAsia="Andale Sans UI" w:hAnsi="Thorndale" w:cs="Tahoma"/>
        <w:kern w:val="3"/>
        <w:sz w:val="24"/>
        <w:szCs w:val="24"/>
        <w:lang w:val="fr-F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" w:eastAsia="MS Mincho" w:hAnsi="Albany"/>
      <w:sz w:val="28"/>
      <w:szCs w:val="28"/>
    </w:rPr>
  </w:style>
  <w:style w:type="paragraph" w:styleId="Liste">
    <w:name w:val="List"/>
    <w:basedOn w:val="Textbody"/>
  </w:style>
  <w:style w:type="paragraph" w:styleId="En-tte">
    <w:name w:val="header"/>
    <w:basedOn w:val="Standard"/>
    <w:pPr>
      <w:suppressLineNumbers/>
      <w:tabs>
        <w:tab w:val="center" w:pos="7284"/>
        <w:tab w:val="right" w:pos="14569"/>
      </w:tabs>
    </w:pPr>
  </w:style>
  <w:style w:type="paragraph" w:styleId="Pieddepage">
    <w:name w:val="footer"/>
    <w:basedOn w:val="Standard"/>
    <w:pPr>
      <w:suppressLineNumbers/>
      <w:tabs>
        <w:tab w:val="center" w:pos="7284"/>
        <w:tab w:val="right" w:pos="14569"/>
      </w:tabs>
    </w:pPr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hart" Target="charts/chart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c:style val="2"/>
  <c:chart>
    <c:title>
      <c:tx>
        <c:rich>
          <a:bodyPr/>
          <a:lstStyle/>
          <a:p>
            <a:pPr>
              <a:defRPr sz="920" b="0">
                <a:latin typeface="Albany"/>
                <a:ea typeface="Andale Sans UI"/>
                <a:cs typeface="Tahoma"/>
              </a:defRPr>
            </a:pPr>
            <a:r>
              <a:rPr lang="fr-CH"/>
              <a:t>Hauteur en fonction du rayon</a:t>
            </a:r>
          </a:p>
        </c:rich>
      </c:tx>
      <c:layout>
        <c:manualLayout>
          <c:xMode val="edge"/>
          <c:yMode val="edge"/>
          <c:x val="0.32684483693617244"/>
          <c:y val="1.8050541516245487E-2"/>
        </c:manualLayout>
      </c:layout>
      <c:overlay val="0"/>
      <c:spPr>
        <a:solidFill>
          <a:srgbClr val="FFFFFF"/>
        </a:solidFill>
      </c:spPr>
    </c:title>
    <c:autoTitleDeleted val="0"/>
    <c:plotArea>
      <c:layout>
        <c:manualLayout>
          <c:xMode val="edge"/>
          <c:yMode val="edge"/>
          <c:x val="1.9791501464114104E-2"/>
          <c:y val="0.13217007621339752"/>
          <c:w val="0.96017288378782373"/>
          <c:h val="0.84757320497392696"/>
        </c:manualLayout>
      </c:layout>
      <c:barChart>
        <c:barDir val="col"/>
        <c:grouping val="clustered"/>
        <c:varyColors val="0"/>
        <c:ser>
          <c:idx val="0"/>
          <c:order val="0"/>
          <c:tx>
            <c:v>H</c:v>
          </c:tx>
          <c:spPr>
            <a:solidFill>
              <a:srgbClr val="9999FF"/>
            </a:solidFill>
          </c:spPr>
          <c:invertIfNegative val="0"/>
          <c:cat>
            <c:strLit>
              <c:ptCount val="22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14</c:v>
              </c:pt>
              <c:pt idx="14">
                <c:v>15</c:v>
              </c:pt>
              <c:pt idx="15">
                <c:v>16</c:v>
              </c:pt>
              <c:pt idx="16">
                <c:v>17</c:v>
              </c:pt>
              <c:pt idx="17">
                <c:v>18</c:v>
              </c:pt>
              <c:pt idx="18">
                <c:v>19</c:v>
              </c:pt>
              <c:pt idx="19">
                <c:v>20</c:v>
              </c:pt>
              <c:pt idx="20">
                <c:v>21</c:v>
              </c:pt>
              <c:pt idx="21">
                <c:v>22</c:v>
              </c:pt>
            </c:strLit>
          </c:cat>
          <c:val>
            <c:numLit>
              <c:formatCode>General</c:formatCode>
              <c:ptCount val="22"/>
              <c:pt idx="0">
                <c:v>127.323954473516</c:v>
              </c:pt>
              <c:pt idx="1">
                <c:v>31.830988618379099</c:v>
              </c:pt>
              <c:pt idx="2">
                <c:v>14.1471060526129</c:v>
              </c:pt>
              <c:pt idx="3">
                <c:v>7.9577471545947702</c:v>
              </c:pt>
              <c:pt idx="4">
                <c:v>5.0929581789406502</c:v>
              </c:pt>
              <c:pt idx="5">
                <c:v>3.5367765131532298</c:v>
              </c:pt>
              <c:pt idx="6">
                <c:v>2.5984480504799201</c:v>
              </c:pt>
              <c:pt idx="7">
                <c:v>1.9894367886486899</c:v>
              </c:pt>
              <c:pt idx="8">
                <c:v>1.5719006725125499</c:v>
              </c:pt>
              <c:pt idx="9">
                <c:v>1.2732395447351601</c:v>
              </c:pt>
              <c:pt idx="10">
                <c:v>1.05226408655799</c:v>
              </c:pt>
              <c:pt idx="11">
                <c:v>0.88419412828830701</c:v>
              </c:pt>
              <c:pt idx="12">
                <c:v>0.753396180316664</c:v>
              </c:pt>
              <c:pt idx="13">
                <c:v>0.64961201261998103</c:v>
              </c:pt>
              <c:pt idx="14">
                <c:v>0.56588424210451704</c:v>
              </c:pt>
              <c:pt idx="15">
                <c:v>0.49735919716217297</c:v>
              </c:pt>
              <c:pt idx="16">
                <c:v>0.44056731651735698</c:v>
              </c:pt>
              <c:pt idx="17">
                <c:v>0.39297516812813699</c:v>
              </c:pt>
              <c:pt idx="18">
                <c:v>0.35269793482968498</c:v>
              </c:pt>
              <c:pt idx="19">
                <c:v>0.31830988618379102</c:v>
              </c:pt>
              <c:pt idx="20">
                <c:v>0.28871645005332502</c:v>
              </c:pt>
              <c:pt idx="21">
                <c:v>0.26306602163949599</c:v>
              </c:pt>
            </c:numLit>
          </c:val>
          <c:extLst>
            <c:ext xmlns:c16="http://schemas.microsoft.com/office/drawing/2014/chart" uri="{C3380CC4-5D6E-409C-BE32-E72D297353CC}">
              <c16:uniqueId val="{00000000-0E97-40F5-AC03-82D62B91E4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8423040"/>
        <c:axId val="908414880"/>
      </c:barChart>
      <c:valAx>
        <c:axId val="908414880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640" b="0">
                    <a:latin typeface="Albany"/>
                    <a:ea typeface="Andale Sans UI"/>
                    <a:cs typeface="Tahoma"/>
                  </a:defRPr>
                </a:pPr>
                <a:r>
                  <a:rPr lang="fr-CH"/>
                  <a:t>Hauteur</a:t>
                </a:r>
              </a:p>
            </c:rich>
          </c:tx>
          <c:layout>
            <c:manualLayout>
              <c:xMode val="edge"/>
              <c:yMode val="edge"/>
              <c:x val="1.9872947972196877E-2"/>
              <c:y val="0.5326909791861657"/>
            </c:manualLayout>
          </c:layout>
          <c:overlay val="0"/>
          <c:spPr>
            <a:solidFill>
              <a:srgbClr val="FFFFFF"/>
            </a:solidFill>
          </c:spPr>
        </c:title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10" b="0">
                <a:latin typeface="Arial"/>
                <a:ea typeface="Andale Sans UI"/>
                <a:cs typeface="Tahoma"/>
              </a:defRPr>
            </a:pPr>
            <a:endParaRPr lang="fr-FR"/>
          </a:p>
        </c:txPr>
        <c:crossAx val="908423040"/>
        <c:crosses val="autoZero"/>
        <c:crossBetween val="between"/>
      </c:valAx>
      <c:catAx>
        <c:axId val="9084230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640" b="0">
                    <a:latin typeface="Albany"/>
                    <a:ea typeface="Andale Sans UI"/>
                    <a:cs typeface="Tahoma"/>
                  </a:defRPr>
                </a:pPr>
                <a:r>
                  <a:rPr lang="fr-CH"/>
                  <a:t>Rayon</a:t>
                </a:r>
              </a:p>
            </c:rich>
          </c:tx>
          <c:layout>
            <c:manualLayout>
              <c:xMode val="edge"/>
              <c:yMode val="edge"/>
              <c:x val="0.53217148381284596"/>
              <c:y val="0.92117930204572795"/>
            </c:manualLayout>
          </c:layout>
          <c:overlay val="0"/>
          <c:spPr>
            <a:solidFill>
              <a:srgbClr val="FFFFFF"/>
            </a:solidFill>
          </c:spPr>
        </c:title>
        <c:numFmt formatCode="General" sourceLinked="1"/>
        <c:majorTickMark val="none"/>
        <c:minorTickMark val="none"/>
        <c:tickLblPos val="low"/>
        <c:txPr>
          <a:bodyPr/>
          <a:lstStyle/>
          <a:p>
            <a:pPr>
              <a:defRPr sz="810" b="0">
                <a:latin typeface="Arial"/>
                <a:ea typeface="Andale Sans UI"/>
                <a:cs typeface="Tahoma"/>
              </a:defRPr>
            </a:pPr>
            <a:endParaRPr lang="fr-FR"/>
          </a:p>
        </c:txPr>
        <c:crossAx val="908414880"/>
        <c:crossesAt val="0"/>
        <c:auto val="1"/>
        <c:lblAlgn val="ctr"/>
        <c:lblOffset val="100"/>
        <c:noMultiLvlLbl val="0"/>
      </c:catAx>
      <c:spPr>
        <a:noFill/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c:style val="2"/>
  <c:chart>
    <c:title>
      <c:tx>
        <c:rich>
          <a:bodyPr/>
          <a:lstStyle/>
          <a:p>
            <a:pPr>
              <a:defRPr sz="910" b="0">
                <a:latin typeface="Albany"/>
                <a:ea typeface="Andale Sans UI"/>
                <a:cs typeface="Tahoma"/>
              </a:defRPr>
            </a:pPr>
            <a:r>
              <a:rPr lang="fr-CH"/>
              <a:t>Aire totale en fonction du rayon</a:t>
            </a:r>
          </a:p>
        </c:rich>
      </c:tx>
      <c:layout>
        <c:manualLayout>
          <c:xMode val="edge"/>
          <c:yMode val="edge"/>
          <c:x val="0.31937130357287535"/>
          <c:y val="1.9635627530364373E-2"/>
        </c:manualLayout>
      </c:layout>
      <c:overlay val="0"/>
      <c:spPr>
        <a:solidFill>
          <a:srgbClr val="FFFFFF"/>
        </a:solidFill>
      </c:spPr>
    </c:title>
    <c:autoTitleDeleted val="0"/>
    <c:plotArea>
      <c:layout>
        <c:manualLayout>
          <c:xMode val="edge"/>
          <c:yMode val="edge"/>
          <c:x val="2.5034432471846391E-2"/>
          <c:y val="0.13218623481781375"/>
          <c:w val="0.95454913716276435"/>
          <c:h val="0.84655814215024738"/>
        </c:manualLayout>
      </c:layout>
      <c:areaChart>
        <c:grouping val="stacked"/>
        <c:varyColors val="0"/>
        <c:ser>
          <c:idx val="0"/>
          <c:order val="0"/>
          <c:tx>
            <c:v>Aire Totale</c:v>
          </c:tx>
          <c:spPr>
            <a:solidFill>
              <a:srgbClr val="9999FF"/>
            </a:solidFill>
          </c:spPr>
          <c:cat>
            <c:strLit>
              <c:ptCount val="22"/>
              <c:pt idx="0">
                <c:v>1</c:v>
              </c:pt>
              <c:pt idx="1">
                <c:v>2</c:v>
              </c:pt>
              <c:pt idx="2">
                <c:v>3</c:v>
              </c:pt>
              <c:pt idx="3">
                <c:v>4</c:v>
              </c:pt>
              <c:pt idx="4">
                <c:v>5</c:v>
              </c:pt>
              <c:pt idx="5">
                <c:v>6</c:v>
              </c:pt>
              <c:pt idx="6">
                <c:v>7</c:v>
              </c:pt>
              <c:pt idx="7">
                <c:v>8</c:v>
              </c:pt>
              <c:pt idx="8">
                <c:v>9</c:v>
              </c:pt>
              <c:pt idx="9">
                <c:v>10</c:v>
              </c:pt>
              <c:pt idx="10">
                <c:v>11</c:v>
              </c:pt>
              <c:pt idx="11">
                <c:v>12</c:v>
              </c:pt>
              <c:pt idx="12">
                <c:v>13</c:v>
              </c:pt>
              <c:pt idx="13">
                <c:v>14</c:v>
              </c:pt>
              <c:pt idx="14">
                <c:v>15</c:v>
              </c:pt>
              <c:pt idx="15">
                <c:v>16</c:v>
              </c:pt>
              <c:pt idx="16">
                <c:v>17</c:v>
              </c:pt>
              <c:pt idx="17">
                <c:v>18</c:v>
              </c:pt>
              <c:pt idx="18">
                <c:v>19</c:v>
              </c:pt>
              <c:pt idx="19">
                <c:v>20</c:v>
              </c:pt>
              <c:pt idx="20">
                <c:v>21</c:v>
              </c:pt>
              <c:pt idx="21">
                <c:v>22</c:v>
              </c:pt>
            </c:strLit>
          </c:cat>
          <c:val>
            <c:numLit>
              <c:formatCode>General</c:formatCode>
              <c:ptCount val="22"/>
              <c:pt idx="0">
                <c:v>806.28318530718002</c:v>
              </c:pt>
              <c:pt idx="1">
                <c:v>425.13274122871798</c:v>
              </c:pt>
              <c:pt idx="2">
                <c:v>323.215334431283</c:v>
              </c:pt>
              <c:pt idx="3">
                <c:v>300.53096491487298</c:v>
              </c:pt>
              <c:pt idx="4">
                <c:v>317.07963267948998</c:v>
              </c:pt>
              <c:pt idx="5">
                <c:v>359.52800439179799</c:v>
              </c:pt>
              <c:pt idx="6">
                <c:v>422.16179433751398</c:v>
              </c:pt>
              <c:pt idx="7">
                <c:v>502.12385965949397</c:v>
              </c:pt>
              <c:pt idx="8">
                <c:v>597.82689877043504</c:v>
              </c:pt>
              <c:pt idx="9">
                <c:v>708.31853071795899</c:v>
              </c:pt>
              <c:pt idx="10">
                <c:v>832.99269489600294</c:v>
              </c:pt>
              <c:pt idx="11">
                <c:v>971.44535090052705</c:v>
              </c:pt>
              <c:pt idx="12">
                <c:v>1123.39677845181</c:v>
              </c:pt>
              <c:pt idx="13">
                <c:v>1288.64717735006</c:v>
              </c:pt>
              <c:pt idx="14">
                <c:v>1467.0500274487399</c:v>
              </c:pt>
              <c:pt idx="15">
                <c:v>1658.49543863797</c:v>
              </c:pt>
              <c:pt idx="16">
                <c:v>1862.8993773043101</c:v>
              </c:pt>
              <c:pt idx="17">
                <c:v>2080.1964839706302</c:v>
              </c:pt>
              <c:pt idx="18">
                <c:v>2310.33515904973</c:v>
              </c:pt>
              <c:pt idx="19">
                <c:v>2553.2741228718301</c:v>
              </c:pt>
              <c:pt idx="20">
                <c:v>2808.9799585614401</c:v>
              </c:pt>
              <c:pt idx="21">
                <c:v>3077.42532503856</c:v>
              </c:pt>
            </c:numLit>
          </c:val>
          <c:extLst>
            <c:ext xmlns:c16="http://schemas.microsoft.com/office/drawing/2014/chart" uri="{C3380CC4-5D6E-409C-BE32-E72D297353CC}">
              <c16:uniqueId val="{00000000-0010-46BC-8B52-ABD59AD7493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08425440"/>
        <c:axId val="908424960"/>
      </c:areaChart>
      <c:valAx>
        <c:axId val="908424960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40" b="0">
                <a:latin typeface="Arial"/>
                <a:ea typeface="Andale Sans UI"/>
                <a:cs typeface="Tahoma"/>
              </a:defRPr>
            </a:pPr>
            <a:endParaRPr lang="fr-FR"/>
          </a:p>
        </c:txPr>
        <c:crossAx val="908425440"/>
        <c:crosses val="autoZero"/>
        <c:crossBetween val="midCat"/>
      </c:valAx>
      <c:catAx>
        <c:axId val="90842544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630" b="0">
                    <a:latin typeface="Albany"/>
                    <a:ea typeface="Andale Sans UI"/>
                    <a:cs typeface="Tahoma"/>
                  </a:defRPr>
                </a:pPr>
                <a:r>
                  <a:rPr lang="fr-CH"/>
                  <a:t>Rayon</a:t>
                </a:r>
              </a:p>
            </c:rich>
          </c:tx>
          <c:layout>
            <c:manualLayout>
              <c:xMode val="edge"/>
              <c:yMode val="edge"/>
              <c:x val="0.53447298063679816"/>
              <c:y val="0.92388607737291961"/>
            </c:manualLayout>
          </c:layout>
          <c:overlay val="0"/>
          <c:spPr>
            <a:solidFill>
              <a:srgbClr val="FFFFFF"/>
            </a:solidFill>
          </c:spPr>
        </c:title>
        <c:numFmt formatCode="General" sourceLinked="1"/>
        <c:majorTickMark val="none"/>
        <c:minorTickMark val="none"/>
        <c:tickLblPos val="low"/>
        <c:txPr>
          <a:bodyPr/>
          <a:lstStyle/>
          <a:p>
            <a:pPr>
              <a:defRPr sz="940" b="0">
                <a:latin typeface="Arial"/>
                <a:ea typeface="Andale Sans UI"/>
                <a:cs typeface="Tahoma"/>
              </a:defRPr>
            </a:pPr>
            <a:endParaRPr lang="fr-FR"/>
          </a:p>
        </c:txPr>
        <c:crossAx val="908424960"/>
        <c:crossesAt val="0"/>
        <c:auto val="1"/>
        <c:lblAlgn val="ctr"/>
        <c:lblOffset val="100"/>
        <c:noMultiLvlLbl val="0"/>
      </c:catAx>
      <c:spPr>
        <a:noFill/>
      </c:spPr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134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Tharin</dc:creator>
  <cp:lastModifiedBy>Cours Caid</cp:lastModifiedBy>
  <cp:revision>2</cp:revision>
  <dcterms:created xsi:type="dcterms:W3CDTF">2023-07-26T15:54:00Z</dcterms:created>
  <dcterms:modified xsi:type="dcterms:W3CDTF">2023-07-26T15:54:00Z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